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c779c412fa64c910cdac57d3a75674628653d4"/>
    <w:p>
      <w:pPr>
        <w:pStyle w:val="Heading3"/>
      </w:pPr>
      <w:r>
        <w:t xml:space="preserve">Чек лист. Этапы проведения специальной оценки условий труда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drawing>
          <wp:inline>
            <wp:extent cx="5334000" cy="38056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изображение_2024-03-22_15125007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5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Основные сведения</w:t>
      </w:r>
    </w:p>
    <w:p>
      <w:pPr>
        <w:pStyle w:val="BodyText"/>
      </w:pPr>
      <w:r>
        <w:t xml:space="preserve">Обязательными для включения в трудовой договор являются следующие условия:</w:t>
      </w:r>
    </w:p>
    <w:p>
      <w:pPr>
        <w:pStyle w:val="BodyText"/>
      </w:pPr>
      <w:r>
        <w:t xml:space="preserve">-место работы.</w:t>
      </w:r>
    </w:p>
    <w:p>
      <w:pPr>
        <w:pStyle w:val="BodyText"/>
      </w:pPr>
      <w:r>
        <w:t xml:space="preserve">трудовая функция.</w:t>
      </w:r>
    </w:p>
    <w:p>
      <w:pPr>
        <w:pStyle w:val="BodyText"/>
      </w:pPr>
      <w:r>
        <w:t xml:space="preserve">-гарантии и компенсации за работу с вредными и опасными условиями труда, если работник принимается на работу в соответствующих условиях, с указанием характеристик условий труда на рабочем месте, определяющие в необходимых случаях характер работы.</w:t>
      </w:r>
    </w:p>
    <w:p>
      <w:pPr>
        <w:pStyle w:val="BodyText"/>
      </w:pPr>
      <w:r>
        <w:t xml:space="preserve">-условия труда на рабочем месте.</w:t>
      </w:r>
    </w:p>
    <w:p>
      <w:pPr>
        <w:pStyle w:val="BodyText"/>
      </w:pPr>
      <w:r>
        <w:t xml:space="preserve">Организация подготовки, проведения и оформления результатов специальной оценки условий труда</w:t>
      </w:r>
    </w:p>
    <w:p>
      <w:pPr>
        <w:pStyle w:val="BodyText"/>
      </w:pPr>
      <w:r>
        <w:t xml:space="preserve">Работодатель обязан обеспечить безопасную работу на каждом рабочем месте (</w:t>
      </w:r>
      <w:hyperlink r:id="rId23">
        <w:r>
          <w:rPr>
            <w:rStyle w:val="Hyperlink"/>
          </w:rPr>
          <w:t xml:space="preserve">ст. 214</w:t>
        </w:r>
      </w:hyperlink>
      <w:r>
        <w:t xml:space="preserve"> </w:t>
      </w:r>
      <w:r>
        <w:t xml:space="preserve">ТК РФ). Для этого он проводит комплекс мероприятий по охране труда, разработанный по результатам оценки профессиональных рисков и специальной оценки условий труда (</w:t>
      </w:r>
      <w:hyperlink r:id="rId24">
        <w:r>
          <w:rPr>
            <w:rStyle w:val="Hyperlink"/>
          </w:rPr>
          <w:t xml:space="preserve">п. 48</w:t>
        </w:r>
      </w:hyperlink>
      <w:r>
        <w:t xml:space="preserve"> </w:t>
      </w:r>
      <w:r>
        <w:t xml:space="preserve">Примерного положения о СОУТ, утвержденного Приказом Минтруда России от 29.10.2021 № 776н).</w:t>
      </w:r>
    </w:p>
    <w:p>
      <w:pPr>
        <w:pStyle w:val="BodyText"/>
      </w:pPr>
      <w:r>
        <w:t xml:space="preserve">ОПР и СОУТ относятся к базовым процессам. По их результатам планируют обучение персонала по охране труда, обеспечение работников средствами индивидуальной защиты и средствами коллективной защиты и другие мероприятия по охране труда. Но это все-таки разные процедуры.</w:t>
      </w:r>
    </w:p>
    <w:p>
      <w:pPr>
        <w:pStyle w:val="BodyText"/>
      </w:pPr>
      <w:r>
        <w:t xml:space="preserve">Нормативная база</w:t>
      </w:r>
    </w:p>
    <w:p>
      <w:pPr>
        <w:pStyle w:val="BodyText"/>
      </w:pPr>
      <w:r>
        <w:t xml:space="preserve">Федеральный закон от 28.12.2013 № 426-ФЗ «О специальной оценке условий труда».</w:t>
      </w:r>
    </w:p>
    <w:p>
      <w:pPr>
        <w:pStyle w:val="BodyText"/>
      </w:pPr>
      <w:r>
        <w:t xml:space="preserve">Приказ Минтруда России от 24.01.2014 № 33н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заполнению».</w:t>
      </w:r>
    </w:p>
    <w:p>
      <w:pPr>
        <w:pStyle w:val="BodyText"/>
      </w:pPr>
      <w:r>
        <w:t xml:space="preserve">Приказ Минтруда России от 17.06.2021 № 406н «О форме и порядке подачи декларации соответствия условий труда государственным нормативным требованиям охраны труда, Порядке формирования и ведения реестра деклараций соответствия условий труда государственным нормативным требованиям охраны труда».</w:t>
      </w:r>
    </w:p>
    <w:p>
      <w:pPr>
        <w:pStyle w:val="BodyText"/>
      </w:pPr>
      <w:r>
        <w:t xml:space="preserve">Обязанность работодателя</w:t>
      </w:r>
    </w:p>
    <w:p>
      <w:pPr>
        <w:pStyle w:val="BodyText"/>
      </w:pPr>
      <w:r>
        <w:t xml:space="preserve">Работодатель обязан:</w:t>
      </w:r>
    </w:p>
    <w:p>
      <w:pPr>
        <w:pStyle w:val="BodyText"/>
      </w:pPr>
      <w:r>
        <w:t xml:space="preserve">обеспечить проведение СОУТ.</w:t>
      </w:r>
    </w:p>
    <w:p>
      <w:pPr>
        <w:pStyle w:val="BodyText"/>
      </w:pPr>
      <w:r>
        <w:t xml:space="preserve">подать декларацию соответствия условий труда в соответствии с Приказом Минтруда России от 17.06.2021 № 406н.</w:t>
      </w:r>
    </w:p>
    <w:p>
      <w:pPr>
        <w:pStyle w:val="BodyText"/>
      </w:pPr>
      <w:r>
        <w:t xml:space="preserve">Основные сведения</w:t>
      </w:r>
    </w:p>
    <w:p>
      <w:pPr>
        <w:pStyle w:val="BodyText"/>
      </w:pPr>
      <w:r>
        <w:t xml:space="preserve">СОУТ – единый комплекс последовательно осуществляемых мероприятий по идентификации вредных и (или) опасных факторов производственной среды и трудового процесса и оценке уровня их воздействия на работника с учетом отклонения их фактических значений от установленных нормативов условий труда и применения средств индивидуальной</w:t>
      </w:r>
      <w:r>
        <w:br/>
      </w:r>
      <w:r>
        <w:t xml:space="preserve">и коллективной защиты работников.</w:t>
      </w:r>
    </w:p>
    <w:p>
      <w:pPr>
        <w:pStyle w:val="BodyText"/>
      </w:pPr>
      <w:r>
        <w:t xml:space="preserve">По результатам проведения СОУТ устанавливаются классы (подклассы) условий труда на рабочих местах.</w:t>
      </w:r>
    </w:p>
    <w:p>
      <w:pPr>
        <w:pStyle w:val="BodyText"/>
      </w:pPr>
      <w:r>
        <w:t xml:space="preserve">Подготовка к проведению СОУТ.</w:t>
      </w:r>
    </w:p>
    <w:p>
      <w:pPr>
        <w:pStyle w:val="BodyText"/>
      </w:pPr>
      <w:r>
        <w:t xml:space="preserve">Для организации и проведения СОУТ работодатель обязан:</w:t>
      </w:r>
    </w:p>
    <w:p>
      <w:pPr>
        <w:pStyle w:val="BodyText"/>
      </w:pPr>
      <w:r>
        <w:t xml:space="preserve">1.Создать комиссию по проведению СОУТ</w:t>
      </w:r>
    </w:p>
    <w:p>
      <w:pPr>
        <w:pStyle w:val="BodyText"/>
      </w:pPr>
      <w:r>
        <w:t xml:space="preserve">Число членов комиссии – не четное.</w:t>
      </w:r>
    </w:p>
    <w:p>
      <w:pPr>
        <w:pStyle w:val="BodyText"/>
      </w:pPr>
      <w:r>
        <w:t xml:space="preserve">В состав комиссии включаются:</w:t>
      </w:r>
    </w:p>
    <w:p>
      <w:pPr>
        <w:pStyle w:val="BodyText"/>
      </w:pPr>
      <w:r>
        <w:t xml:space="preserve">-представители работодателя, в т.ч. специалист по ОТ</w:t>
      </w:r>
    </w:p>
    <w:p>
      <w:pPr>
        <w:pStyle w:val="BodyText"/>
      </w:pPr>
      <w:r>
        <w:t xml:space="preserve">-представители выборного органа первичной профсоюзной организации или иного представительного органа работников</w:t>
      </w:r>
    </w:p>
    <w:p>
      <w:pPr>
        <w:pStyle w:val="BodyText"/>
      </w:pPr>
      <w:r>
        <w:t xml:space="preserve">Председателем комиссии является работодатель или его представитель.</w:t>
      </w:r>
    </w:p>
    <w:p>
      <w:pPr>
        <w:pStyle w:val="BodyText"/>
      </w:pPr>
      <w:r>
        <w:t xml:space="preserve">2.Утвердить график проведения СОУТ.</w:t>
      </w:r>
    </w:p>
    <w:p>
      <w:pPr>
        <w:pStyle w:val="BodyText"/>
      </w:pPr>
      <w:r>
        <w:t xml:space="preserve">3.Создать перечень рабочих мест, подлежащих оценке- (специальной оценке подлежат все рабочие места).</w:t>
      </w:r>
    </w:p>
    <w:p>
      <w:pPr>
        <w:pStyle w:val="BodyText"/>
      </w:pPr>
      <w:r>
        <w:rPr>
          <w:u w:val="single"/>
        </w:rPr>
        <w:t xml:space="preserve">Этапы СОУТ и необходимость выезда:</w:t>
      </w:r>
    </w:p>
    <w:p>
      <w:pPr>
        <w:pStyle w:val="BodyText"/>
      </w:pPr>
      <w:r>
        <w:t xml:space="preserve">-идентификация (выявление) потенциально вредных и (или) опасных производственных факторов (выезд потребуется если работодатель не предоставит исчерпывающие данные);</w:t>
      </w:r>
    </w:p>
    <w:p>
      <w:pPr>
        <w:pStyle w:val="BodyText"/>
      </w:pPr>
      <w:r>
        <w:t xml:space="preserve">-исследования (испытания) и измерения вредных и (или) опасных производственных факторов (выезд не потребуется, в случае использования результатов исследований проведенных для производственного контроля);</w:t>
      </w:r>
    </w:p>
    <w:p>
      <w:pPr>
        <w:pStyle w:val="BodyText"/>
      </w:pPr>
      <w:r>
        <w:t xml:space="preserve">-отнесение условий труда на рабочем месте по степени вредности и (или) или опасности к классу (подклассу) условий труда по результатам проведения исследований (испытаний) и измерений вредных и (или) опасных производственных факторов (проводится без выезда);</w:t>
      </w:r>
    </w:p>
    <w:p>
      <w:pPr>
        <w:pStyle w:val="BodyText"/>
      </w:pPr>
      <w:r>
        <w:t xml:space="preserve">-оформление результатов проведения специальной оценки условий труда (оформление без выезда).</w:t>
      </w:r>
    </w:p>
    <w:p>
      <w:pPr>
        <w:pStyle w:val="BodyText"/>
      </w:pPr>
      <w:r>
        <w:t xml:space="preserve">Исключение:</w:t>
      </w:r>
    </w:p>
    <w:p>
      <w:pPr>
        <w:pStyle w:val="BodyText"/>
      </w:pPr>
      <w:r>
        <w:t xml:space="preserve">рабочие места надомных и дистанционных работников работодатель определяет перечень рабочих мест с учетом аналогичности. Оценке подлежит не менее 20% таких мест и не менее 2.</w:t>
      </w:r>
    </w:p>
    <w:p>
      <w:pPr>
        <w:pStyle w:val="BodyText"/>
      </w:pPr>
      <w:r>
        <w:t xml:space="preserve">Существует реестр организаций, проводящих СОУТ</w:t>
      </w:r>
    </w:p>
    <w:p>
      <w:pPr>
        <w:pStyle w:val="BodyText"/>
      </w:pPr>
      <w:r>
        <w:t xml:space="preserve">1)основной вид деятельности – специальная оценка.</w:t>
      </w:r>
    </w:p>
    <w:p>
      <w:pPr>
        <w:pStyle w:val="BodyText"/>
      </w:pPr>
      <w:r>
        <w:t xml:space="preserve">2)наличие аттестата Росаккредитации.</w:t>
      </w:r>
    </w:p>
    <w:p>
      <w:pPr>
        <w:pStyle w:val="BodyText"/>
      </w:pPr>
      <w:r>
        <w:t xml:space="preserve">3)не менее 5 экспертов в штате, числящихся в реестре экспертов.</w:t>
      </w:r>
    </w:p>
    <w:p>
      <w:pPr>
        <w:pStyle w:val="BodyText"/>
      </w:pPr>
      <w:r>
        <w:t xml:space="preserve">Существует реестр организаций, проводящих СОУТ</w:t>
      </w:r>
    </w:p>
    <w:p>
      <w:pPr>
        <w:pStyle w:val="BodyText"/>
      </w:pPr>
      <w:r>
        <w:t xml:space="preserve">1)основной вид деятельности – специальная оценка.</w:t>
      </w:r>
    </w:p>
    <w:p>
      <w:pPr>
        <w:pStyle w:val="BodyText"/>
      </w:pPr>
      <w:r>
        <w:t xml:space="preserve">2)наличие аттестата Росаккредитации.</w:t>
      </w:r>
    </w:p>
    <w:p>
      <w:pPr>
        <w:pStyle w:val="BodyText"/>
      </w:pPr>
      <w:r>
        <w:t xml:space="preserve">3)не менее 5 экспертов в штате, числящихся в реестре экспертов.</w:t>
      </w:r>
    </w:p>
    <w:p>
      <w:pPr>
        <w:pStyle w:val="BodyText"/>
      </w:pPr>
      <w:r>
        <w:t xml:space="preserve">4.Срок действия декларации – бессрочно при сохранении условий труда на рабочем месте.</w:t>
      </w:r>
    </w:p>
    <w:p>
      <w:pPr>
        <w:pStyle w:val="BodyText"/>
      </w:pPr>
      <w:r>
        <w:t xml:space="preserve">5.Декларация прекратит действие, если:</w:t>
      </w:r>
    </w:p>
    <w:p>
      <w:pPr>
        <w:pStyle w:val="BodyText"/>
      </w:pPr>
      <w:r>
        <w:t xml:space="preserve">-у работника выявили профзаболевание;</w:t>
      </w:r>
    </w:p>
    <w:p>
      <w:pPr>
        <w:pStyle w:val="BodyText"/>
      </w:pPr>
      <w:r>
        <w:t xml:space="preserve">-произошел несчастный случай на производстве;</w:t>
      </w:r>
    </w:p>
    <w:p>
      <w:pPr>
        <w:pStyle w:val="BodyText"/>
      </w:pPr>
      <w:r>
        <w:t xml:space="preserve">-инспектор ГИТ выявил нарушения в отношении работника или на его рабочем месте;</w:t>
      </w:r>
    </w:p>
    <w:p>
      <w:pPr>
        <w:pStyle w:val="BodyText"/>
      </w:pPr>
      <w:r>
        <w:t xml:space="preserve">6.Форма и порядок оформления декларации и порядок формирования реестра деклараций устанавливает Минтруд России. Формирование и ведение реестра деклараций обеспечивает Роструд.</w:t>
      </w:r>
    </w:p>
    <w:p>
      <w:pPr>
        <w:pStyle w:val="BodyText"/>
      </w:pPr>
      <w:r>
        <w:t xml:space="preserve">7.ГИТ обеспечивает внесение в реестр сведений о декларации в течение 15 рабочих дней.</w:t>
      </w:r>
    </w:p>
    <w:p>
      <w:pPr>
        <w:pStyle w:val="BodyText"/>
      </w:pPr>
      <w:r>
        <w:t xml:space="preserve">8.В случае выявления факта недостоверности сведений, ГИТ в течение 5 рабочих дней обеспечивает внесение в реестр записи о прекращении действия декларации.</w:t>
      </w:r>
    </w:p>
    <w:p>
      <w:pPr>
        <w:pStyle w:val="BodyText"/>
      </w:pPr>
      <w:r>
        <w:t xml:space="preserve">9.Если в период действия декларации с работником произошел несчастный случай или у него выявлено профессиональное заболевание, в отношении такого рабочего места действие декларации прекращается и проводится внеплановая СОУТ.</w:t>
      </w:r>
    </w:p>
    <w:p>
      <w:pPr>
        <w:pStyle w:val="BodyText"/>
      </w:pPr>
      <w:r>
        <w:t xml:space="preserve">10.Решение о прекращении действия декларации принимает Роструд.</w:t>
      </w:r>
    </w:p>
    <w:p>
      <w:pPr>
        <w:pStyle w:val="BodyText"/>
      </w:pPr>
      <w:r>
        <w:t xml:space="preserve">Основания внеплановой СОУТ</w:t>
      </w:r>
    </w:p>
    <w:p>
      <w:pPr>
        <w:pStyle w:val="BodyText"/>
      </w:pPr>
      <w:r>
        <w:t xml:space="preserve">1.Ввод в эксплуатацию вновь организованных рабочих мест</w:t>
      </w:r>
    </w:p>
    <w:p>
      <w:pPr>
        <w:pStyle w:val="BodyText"/>
      </w:pPr>
      <w:r>
        <w:t xml:space="preserve">2.Получение работодателем предписания ГИТ в связи с выявленными нарушениями требований</w:t>
      </w:r>
    </w:p>
    <w:p>
      <w:pPr>
        <w:pStyle w:val="BodyText"/>
      </w:pPr>
      <w:r>
        <w:t xml:space="preserve">3.Изменение тех. процесса, замена производственного оборудования</w:t>
      </w:r>
    </w:p>
    <w:p>
      <w:pPr>
        <w:pStyle w:val="BodyText"/>
      </w:pPr>
      <w:r>
        <w:t xml:space="preserve">4.Изменение состава применяемых материалов, сырья</w:t>
      </w:r>
    </w:p>
    <w:p>
      <w:pPr>
        <w:pStyle w:val="BodyText"/>
      </w:pPr>
      <w:r>
        <w:t xml:space="preserve">5.Изменения применяемых СИЗ</w:t>
      </w:r>
    </w:p>
    <w:p>
      <w:pPr>
        <w:pStyle w:val="BodyText"/>
      </w:pPr>
      <w:r>
        <w:t xml:space="preserve">6.Несчастный случай на рабочем месте или выявленное проф. заболевание</w:t>
      </w:r>
    </w:p>
    <w:p>
      <w:pPr>
        <w:pStyle w:val="BodyText"/>
      </w:pPr>
      <w:r>
        <w:t xml:space="preserve">7.Наличие мотивированных предложений профсоюза</w:t>
      </w:r>
    </w:p>
    <w:p>
      <w:pPr>
        <w:pStyle w:val="BodyText"/>
      </w:pPr>
      <w:r>
        <w:t xml:space="preserve">8.Прекращение действия декларации</w:t>
      </w:r>
    </w:p>
    <w:p>
      <w:pPr>
        <w:pStyle w:val="BodyText"/>
      </w:pPr>
      <w:r>
        <w:t xml:space="preserve">Особенности спецоценки для малых предприятий</w:t>
      </w:r>
      <w:r>
        <w:br/>
      </w:r>
    </w:p>
    <w:p>
      <w:pPr>
        <w:pStyle w:val="BodyText"/>
      </w:pPr>
      <w:r>
        <w:t xml:space="preserve">С 1 марта 2023 года действует Приказ Минтруда России</w:t>
      </w:r>
      <w:r>
        <w:t xml:space="preserve"> </w:t>
      </w:r>
      <w:hyperlink r:id="rId25">
        <w:r>
          <w:rPr>
            <w:rStyle w:val="Hyperlink"/>
          </w:rPr>
          <w:t xml:space="preserve">№ 699н</w:t>
        </w:r>
      </w:hyperlink>
      <w:r>
        <w:t xml:space="preserve">, в котором устанавливаются особенности СОУТ для микропредприятий. Напомним, что это организации со среднесписочной численностью до 15 человек и годовым доходом до 120 млн рублей. (ст. 4 Федерального закона</w:t>
      </w:r>
      <w:r>
        <w:t xml:space="preserve"> </w:t>
      </w:r>
      <w:hyperlink r:id="rId26">
        <w:r>
          <w:rPr>
            <w:rStyle w:val="Hyperlink"/>
          </w:rPr>
          <w:t xml:space="preserve">от 24.07.2007 № 209-ФЗ</w:t>
        </w:r>
      </w:hyperlink>
      <w:r>
        <w:t xml:space="preserve">, Постановление Правительства РФ</w:t>
      </w:r>
      <w:r>
        <w:t xml:space="preserve"> </w:t>
      </w:r>
      <w:hyperlink r:id="rId27">
        <w:r>
          <w:rPr>
            <w:rStyle w:val="Hyperlink"/>
          </w:rPr>
          <w:t xml:space="preserve">от 04.04.2016 № 265</w:t>
        </w:r>
      </w:hyperlink>
      <w:r>
        <w:t xml:space="preserve">).</w:t>
      </w:r>
    </w:p>
    <w:p>
      <w:pPr>
        <w:pStyle w:val="BodyText"/>
      </w:pPr>
      <w:r>
        <w:t xml:space="preserve">Упрощенная спецоценка</w:t>
      </w:r>
    </w:p>
    <w:p>
      <w:pPr>
        <w:pStyle w:val="BodyText"/>
      </w:pPr>
      <w:r>
        <w:t xml:space="preserve">Упрощенный порядок проведения СОУТ означает, что работодателю не нужно привлекать специализированную организацию. То есть микропредприятие самостоятельно проводит идентификацию вредных и опасных производственных факторов на рабочих местах.</w:t>
      </w:r>
    </w:p>
    <w:p>
      <w:pPr>
        <w:pStyle w:val="BodyText"/>
      </w:pPr>
      <w:r>
        <w:t xml:space="preserve">Кому запрещена упрощенная спецоценка</w:t>
      </w:r>
    </w:p>
    <w:p>
      <w:pPr>
        <w:pStyle w:val="BodyText"/>
      </w:pPr>
      <w:r>
        <w:t xml:space="preserve">Упрощенный порядок не могут применять микропредприятия, если есть:</w:t>
      </w:r>
    </w:p>
    <w:p>
      <w:pPr>
        <w:pStyle w:val="BodyText"/>
      </w:pPr>
      <w:r>
        <w:t xml:space="preserve">-рабочие места, по которым осуществляется досрочное назначение страховой пенсии по старости</w:t>
      </w:r>
    </w:p>
    <w:p>
      <w:pPr>
        <w:pStyle w:val="BodyText"/>
      </w:pPr>
      <w:r>
        <w:t xml:space="preserve">-рабочие места, в связи с работой на которых работникам предоставляются гарантии и компенсации за работу с вредными и опасными условиями труда</w:t>
      </w:r>
    </w:p>
    <w:p>
      <w:pPr>
        <w:pStyle w:val="BodyText"/>
      </w:pPr>
      <w:r>
        <w:t xml:space="preserve">-рабочие места, на которых по результатам ранее проведенной специальной оценки условий труда были установлены вредные и (или) опасные условия труда</w:t>
      </w:r>
      <w:r>
        <w:br/>
      </w:r>
    </w:p>
    <w:p>
      <w:pPr>
        <w:pStyle w:val="BodyText"/>
      </w:pPr>
      <w:r>
        <w:t xml:space="preserve">Особенности спецоценки для малых предприятий</w:t>
      </w:r>
    </w:p>
    <w:p>
      <w:pPr>
        <w:pStyle w:val="BodyText"/>
      </w:pPr>
      <w:r>
        <w:t xml:space="preserve">1.Ее проводит сам работодатель или его представитель совместно с работниками. Независимая экспертная организация не привлекается.</w:t>
      </w:r>
    </w:p>
    <w:p>
      <w:pPr>
        <w:pStyle w:val="BodyText"/>
      </w:pPr>
      <w:r>
        <w:t xml:space="preserve">2.Оценка проводится путем заполнения проверочного листа (чек-листа), в котором ставятся отметки «да» или «нет». Его форма приведена в Приказе</w:t>
      </w:r>
      <w:r>
        <w:t xml:space="preserve"> </w:t>
      </w:r>
      <w:hyperlink r:id="rId25">
        <w:r>
          <w:rPr>
            <w:rStyle w:val="Hyperlink"/>
          </w:rPr>
          <w:t xml:space="preserve">№ 699н</w:t>
        </w:r>
      </w:hyperlink>
      <w:r>
        <w:t xml:space="preserve">.</w:t>
      </w:r>
    </w:p>
    <w:p>
      <w:pPr>
        <w:pStyle w:val="BodyText"/>
      </w:pPr>
      <w:r>
        <w:t xml:space="preserve">3.Если при упрощенной СОУТ выявлены один или несколько опасных и вредных факторов, то далее оценку уже поручают независимой экспертной организации. Она проведет стандартную процедуру, с привлечением аккредитованной лаборатории для измерения уровня «вредности».</w:t>
      </w:r>
    </w:p>
    <w:p>
      <w:pPr>
        <w:pStyle w:val="BodyText"/>
      </w:pPr>
      <w:r>
        <w:t xml:space="preserve">4.Если опасные и вредные факторы по упрощенной СОУТ не выявлены, то условия труда признаются допустимыми (2-ой класс). Работодатель оформляет декларацию соответствия условий труда государственным нормативным требованиям охраны труда по форме приложения 2 к Особенностям по Приказу</w:t>
      </w:r>
      <w:r>
        <w:t xml:space="preserve"> </w:t>
      </w:r>
      <w:hyperlink r:id="rId25">
        <w:r>
          <w:rPr>
            <w:rStyle w:val="Hyperlink"/>
          </w:rPr>
          <w:t xml:space="preserve">№ 699н</w:t>
        </w:r>
      </w:hyperlink>
      <w:r>
        <w:t xml:space="preserve">. Документ не имеет срока действия. Декларация прекращается при изменении условий труда на рабочем месте или произошедшем несчастном случае, выявленном профзаболевании (</w:t>
      </w:r>
      <w:hyperlink r:id="rId28">
        <w:r>
          <w:rPr>
            <w:rStyle w:val="Hyperlink"/>
          </w:rPr>
          <w:t xml:space="preserve">ст. 11</w:t>
        </w:r>
      </w:hyperlink>
      <w:r>
        <w:t xml:space="preserve"> </w:t>
      </w:r>
      <w:r>
        <w:t xml:space="preserve">Закона № 426-ФЗ).</w:t>
      </w:r>
    </w:p>
    <w:p>
      <w:pPr>
        <w:pStyle w:val="BodyText"/>
      </w:pPr>
      <w:r>
        <w:t xml:space="preserve">5.В течение 30 календарных дней после утверждения проверочного листа с результатами оценки работодатель должен ознакомить с ним работника под личную подпись. По сути это замена привычной карты СОУТ.</w:t>
      </w:r>
    </w:p>
    <w:p>
      <w:pPr>
        <w:pStyle w:val="BodyText"/>
      </w:pPr>
      <w:r>
        <w:t xml:space="preserve">В течение 30 рабочих дней после утверждения заполненного проверочного листа работодатель подает декларацию и копию проверочного листа в территориальную трудовую инспекцию. Работники этого ведомства внесут данные о проведенной СОУТ в федеральную информационную систему Минтруда ФГИС ЕИСОТ, в Реестр деклараций.</w:t>
      </w:r>
    </w:p>
    <w:p>
      <w:pPr>
        <w:pStyle w:val="BodyText"/>
      </w:pPr>
      <w:r>
        <w:t xml:space="preserve">Что нужно сделать после идентификации</w:t>
      </w:r>
    </w:p>
    <w:p>
      <w:pPr>
        <w:pStyle w:val="BodyText"/>
      </w:pPr>
      <w:r>
        <w:t xml:space="preserve">Работодатель обязан ознакомить в письменной форме работников с результатами идентификации в течение 30 календарных дней со дня утверждения проверочного листа.</w:t>
      </w:r>
    </w:p>
    <w:p>
      <w:pPr>
        <w:pStyle w:val="BodyText"/>
      </w:pPr>
      <w:r>
        <w:t xml:space="preserve">Работник считается ознакомленным, если проставит подпись в проверочном листе.</w:t>
      </w:r>
    </w:p>
    <w:p>
      <w:pPr>
        <w:pStyle w:val="BodyText"/>
      </w:pPr>
      <w:r>
        <w:t xml:space="preserve">В указанный месячный срок не включаются периоды временной нетрудоспособности работника, нахождения его в отпуске или командировке, периоды междувахтового отдыха.</w:t>
      </w:r>
    </w:p>
    <w:p>
      <w:pPr>
        <w:pStyle w:val="BodyText"/>
      </w:pPr>
      <w:r>
        <w:t xml:space="preserve">Декларация по результатам упрощенной спецоценки</w:t>
      </w:r>
    </w:p>
    <w:p>
      <w:pPr>
        <w:pStyle w:val="BodyText"/>
      </w:pPr>
      <w:r>
        <w:t xml:space="preserve">Если вредные и опасные факторы на рабочем месте не обнаружены, то условия труда на таких рабочих местах признаются допустимыми. Работодатель в течение месяца должен подать декларацию соответствия условий труда государственным нормативным требованиям охраны труда. Рекомендуемый образец декларации приведен в приложении № 2 к приказу от 31 октября 2022 года № 699н. К декларации нужно приложить оригинал или заверенная копия проверочного листа (проверочных листов).</w:t>
      </w:r>
    </w:p>
    <w:p>
      <w:pPr>
        <w:pStyle w:val="BodyText"/>
      </w:pPr>
      <w:r>
        <w:t xml:space="preserve">Срок подачи декларации</w:t>
      </w:r>
    </w:p>
    <w:p>
      <w:pPr>
        <w:pStyle w:val="BodyText"/>
      </w:pPr>
      <w:r>
        <w:t xml:space="preserve">Декларацию нужно подать в срок не позднее 30 рабочих дней со дня утверждения проверочного листа.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http://uao.mos.ru/the-management-of-the-district/okhrana-truda/detail/12265028.html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30" Target="http://uao.mos.ru" TargetMode="External" /><Relationship Type="http://schemas.openxmlformats.org/officeDocument/2006/relationships/hyperlink" Id="rId29" Target="http://uao.mos.ru/the-management-of-the-district/okhrana-truda/detail/12265028.html" TargetMode="External" /><Relationship Type="http://schemas.openxmlformats.org/officeDocument/2006/relationships/hyperlink" Id="rId27" Target="https://normativ.kontur.ru/document?moduleId=1&amp;documentId=270850" TargetMode="External" /><Relationship Type="http://schemas.openxmlformats.org/officeDocument/2006/relationships/hyperlink" Id="rId28" Target="https://normativ.kontur.ru/document?moduleId=1&amp;documentId=382318" TargetMode="External" /><Relationship Type="http://schemas.openxmlformats.org/officeDocument/2006/relationships/hyperlink" Id="rId24" Target="https://normativ.kontur.ru/document?moduleId=1&amp;documentId=409457" TargetMode="External" /><Relationship Type="http://schemas.openxmlformats.org/officeDocument/2006/relationships/hyperlink" Id="rId26" Target="https://normativ.kontur.ru/document?moduleId=1&amp;documentId=436012" TargetMode="External" /><Relationship Type="http://schemas.openxmlformats.org/officeDocument/2006/relationships/hyperlink" Id="rId25" Target="https://normativ.kontur.ru/document?moduleId=1&amp;documentId=437366" TargetMode="External" /><Relationship Type="http://schemas.openxmlformats.org/officeDocument/2006/relationships/hyperlink" Id="rId23" Target="https://normativ.kontur.ru/document?moduleId=1&amp;documentId=4391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uao.mos.ru" TargetMode="External" /><Relationship Type="http://schemas.openxmlformats.org/officeDocument/2006/relationships/hyperlink" Id="rId29" Target="http://uao.mos.ru/the-management-of-the-district/okhrana-truda/detail/12265028.html" TargetMode="External" /><Relationship Type="http://schemas.openxmlformats.org/officeDocument/2006/relationships/hyperlink" Id="rId27" Target="https://normativ.kontur.ru/document?moduleId=1&amp;documentId=270850" TargetMode="External" /><Relationship Type="http://schemas.openxmlformats.org/officeDocument/2006/relationships/hyperlink" Id="rId28" Target="https://normativ.kontur.ru/document?moduleId=1&amp;documentId=382318" TargetMode="External" /><Relationship Type="http://schemas.openxmlformats.org/officeDocument/2006/relationships/hyperlink" Id="rId24" Target="https://normativ.kontur.ru/document?moduleId=1&amp;documentId=409457" TargetMode="External" /><Relationship Type="http://schemas.openxmlformats.org/officeDocument/2006/relationships/hyperlink" Id="rId26" Target="https://normativ.kontur.ru/document?moduleId=1&amp;documentId=436012" TargetMode="External" /><Relationship Type="http://schemas.openxmlformats.org/officeDocument/2006/relationships/hyperlink" Id="rId25" Target="https://normativ.kontur.ru/document?moduleId=1&amp;documentId=437366" TargetMode="External" /><Relationship Type="http://schemas.openxmlformats.org/officeDocument/2006/relationships/hyperlink" Id="rId23" Target="https://normativ.kontur.ru/document?moduleId=1&amp;documentId=4391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2025-06-19T19:12:42Z</dcterms:created>
  <dcterms:modified xsi:type="dcterms:W3CDTF">2025-06-19T19:12:42Z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