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b4e1bf37996d3e6a812490346ea37cf7c35b7"/>
    <w:p>
      <w:pPr>
        <w:pStyle w:val="Heading3"/>
      </w:pPr>
      <w:r>
        <w:t xml:space="preserve">Дайджест изменений законодательства по охране труда за 2 квартал 2023 года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t xml:space="preserve">Дайджест содержит в себе обзор документов, вступивших в силу в 2 квартале 2023 года, а также проекты нормативных правовых актов, находящихся на общественном обсуждении.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http://uao.mos.ru/the-management-of-the-district/social-sphere/about/detail/11697561.html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697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697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2025-04-03T13:47:21Z</dcterms:created>
  <dcterms:modified xsi:type="dcterms:W3CDTF">2025-04-03T13:47:21Z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