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3fb6aba3239eca4903801fa21115c310dc97c3"/>
    <w:p>
      <w:pPr>
        <w:pStyle w:val="Heading3"/>
      </w:pPr>
      <w:r>
        <w:t xml:space="preserve">«Дайджест по охране труда» за 4 квартал 2022 года</w:t>
      </w:r>
    </w:p>
    <w:p>
      <w:pPr>
        <w:pStyle w:val="FirstParagraph"/>
      </w:pPr>
      <w:r>
        <w:t xml:space="preserve">09.01.2023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http://uao.mos.ru/the-management-of-the-district/social-sphere/about/detail/11331928.html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ao.mos.ru" TargetMode="External" /><Relationship Type="http://schemas.openxmlformats.org/officeDocument/2006/relationships/hyperlink" Id="rId20" Target="http://uao.mos.ru/the-management-of-the-district/social-sphere/about/detail/1133192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ao.mos.ru" TargetMode="External" /><Relationship Type="http://schemas.openxmlformats.org/officeDocument/2006/relationships/hyperlink" Id="rId20" Target="http://uao.mos.ru/the-management-of-the-district/social-sphere/about/detail/1133192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2025-04-02T02:07:04Z</dcterms:created>
  <dcterms:modified xsi:type="dcterms:W3CDTF">2025-04-02T02:07:04Z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