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электронные-услуги-пенсионного-фонда"/>
    <w:p>
      <w:pPr>
        <w:pStyle w:val="Heading3"/>
      </w:pPr>
      <w:r>
        <w:t xml:space="preserve">Электронные услуги Пенсионного фонда</w:t>
      </w:r>
    </w:p>
    <w:p>
      <w:pPr>
        <w:pStyle w:val="FirstParagraph"/>
      </w:pPr>
      <w:r>
        <w:t xml:space="preserve">11.09.2018</w:t>
      </w:r>
    </w:p>
    <w:p>
      <w:pPr>
        <w:pStyle w:val="BodyText"/>
      </w:pPr>
      <w:r>
        <w:drawing>
          <wp:inline>
            <wp:extent cx="5334000" cy="36567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c0f/11.09.2018-pfr-ne-tolko-dlya-pensionerov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6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http://uao.mos.ru/presscenter/officially/detail/7565924.html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officially/detail/7565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officially/detail/7565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2025-04-10T02:11:47Z</dcterms:created>
  <dcterms:modified xsi:type="dcterms:W3CDTF">2025-04-10T02:11:47Z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