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f2976fd21e130b7de0f43be1e7ec97dc499a26"/>
    <w:p>
      <w:pPr>
        <w:pStyle w:val="Heading3"/>
      </w:pPr>
      <w:r>
        <w:t xml:space="preserve">График проведения поквартирных обходов жилых домов на территории Южного АО города Москвы в феврале 2018 года</w:t>
      </w:r>
    </w:p>
    <w:p>
      <w:pPr>
        <w:pStyle w:val="FirstParagraph"/>
      </w:pPr>
      <w:r>
        <w:t xml:space="preserve">07.02.2018</w:t>
      </w:r>
    </w:p>
    <w:p>
      <w:pPr>
        <w:pStyle w:val="BodyText"/>
      </w:pPr>
      <w:r>
        <w:t xml:space="preserve">В соответствии с поручением по п.3 Протокола №2 заседания Комиссии по координации и обеспечению санитарно-эпидемиологического благополучия населения Южного административного округа города Москвы от 02.02.2018г. государственная ветеринарная служба Южного АО города Москвы представляет «График проведения поквартирных обходов жилых домов на территории Южного АО города Москвы в феврале 2018 года»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29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629/grafi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9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http://uao.mos.ru/presscenter/officially/detail/7132745.html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officially/detail/7132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officially/detail/7132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2023-10-09T18:14:42Z</dcterms:created>
  <dcterms:modified xsi:type="dcterms:W3CDTF">2023-10-09T18:14:42Z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