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b9a6ccb2613db1f1e89ec01e6130284afe69c7"/>
    <w:p>
      <w:pPr>
        <w:pStyle w:val="Heading3"/>
      </w:pPr>
      <w:r>
        <w:t xml:space="preserve">План-график проведения вакцинации против бешенства собак и кошек на прививочных пунктах в Южном административном округе города Москвы в 2025 году</w:t>
      </w:r>
    </w:p>
    <w:p>
      <w:pPr>
        <w:pStyle w:val="FirstParagraph"/>
      </w:pPr>
      <w:r>
        <w:t xml:space="preserve">20.11.2024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http://uao.mos.ru/presscenter/officially/detail/12673989.html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officially/detail/126739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officially/detail/126739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2025-04-02T02:02:57Z</dcterms:created>
  <dcterms:modified xsi:type="dcterms:W3CDTF">2025-04-02T02:02:57Z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