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5d107c0ae5733899f498b67d750d601fb8b4d0"/>
    <w:p>
      <w:pPr>
        <w:pStyle w:val="Heading3"/>
      </w:pPr>
      <w:r>
        <w:t xml:space="preserve">Москвичам рассказали о субсидиях на бизнес от Правительства Москвы</w:t>
      </w:r>
    </w:p>
    <w:p>
      <w:pPr>
        <w:pStyle w:val="FirstParagraph"/>
      </w:pPr>
      <w:r>
        <w:t xml:space="preserve">24.03.2021</w:t>
      </w:r>
    </w:p>
    <w:p>
      <w:pPr>
        <w:pStyle w:val="BodyText"/>
      </w:pPr>
      <w:r>
        <w:drawing>
          <wp:inline>
            <wp:extent cx="5334000" cy="355773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conference-room-768441_1920-1024x68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Москва начала восстанавливаться после локдауна, вызванного новой коронавирусной инфекцией.</w:t>
      </w:r>
    </w:p>
    <w:p>
      <w:pPr>
        <w:pStyle w:val="BodyText"/>
      </w:pPr>
      <w:r>
        <w:t xml:space="preserve">В январе-феврале 2021 года экономика столицы показала рост по сравнению с аналогичным периодом минувшего года. Доходы бюджета города тоже выросли. Показатели увеличились на 4,4 процента к аналогичному периоду 2019 года. По состоянию на 1 марта 2021 года поступления в бюджет превысили предыдущие на 9,5 процента.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словам экспертов института «Центр развития» Высшей школы экономики, Россия преодолела кризис лучше остального мира. Огромный вклад в достижении в это внесла столица.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минувшем году 10 марта в городе начали новый этап приема заявок на получение субсидий для бизнеса от Правительства Москвы. В случае неполной комплектности или неточностей в пакете документов заявку можно будет доработать в течение 10 дней.</w:t>
      </w:r>
    </w:p>
    <w:p>
      <w:pPr>
        <w:pStyle w:val="BodyText"/>
      </w:pPr>
      <w:r>
        <w:t xml:space="preserve">— Учитывая большой спрос на поддержку от города, мы продолжаем субсидийную кампанию, при этом значительно упрощая условия получения помощи, — отметил руководитель Департамента предпринимательства и инновационного развития города Москвы Алексей Фурсин.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Добавим, что всего в 2020 году Правительство Москвы приняло пять пакетов антикризисных мер поддержки столичного бизнеса на общую сумму около 90 миллиардов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http://uao.mos.ru/presscenter/news/detail/9809055.html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8090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8090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2025-05-31T10:28:24Z</dcterms:created>
  <dcterms:modified xsi:type="dcterms:W3CDTF">2025-05-31T10:28:24Z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