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5d072e821951d47882bcd0cc0e8e5093b4fb6"/>
    <w:p>
      <w:pPr>
        <w:pStyle w:val="Heading3"/>
      </w:pPr>
      <w:r>
        <w:t xml:space="preserve">Типовые проекты жилья предусматривают особую планировку квартир для инвалидов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t xml:space="preserve">Департаментом градостроительной политики города Москвы в рамках реализации Адресной инвестиционной программы города Москвы при проектировании и строительстве жилых домов массового и индивидуального строительства на первых этажах зданий предусматриваются квартиры, адаптированные с учетом особых потребностей инвалидов и предназначенные для проживания семей с инвалидами-колясочниками, в том числе детьми, сообщает пресс-служба столичного департамента градполитики .</w:t>
      </w:r>
    </w:p>
    <w:p>
      <w:pPr>
        <w:pStyle w:val="BodyText"/>
      </w:pPr>
      <w:r>
        <w:t xml:space="preserve">Данные по потребности в типах и количеству таких квартир включаются в Задания на проектирование при разработке конкретных участков.</w:t>
      </w:r>
    </w:p>
    <w:p>
      <w:pPr>
        <w:pStyle w:val="BodyText"/>
      </w:pPr>
      <w:r>
        <w:t xml:space="preserve">Планировочные решения квартир, адаптированных для особых потребностей инвалидов предусмотрены в настоящее время во всех сериях жилых домов массового строительства (П44Т, КОПЭ-2000, ГМС-2001, П3М, П46М).</w:t>
      </w:r>
    </w:p>
    <w:p>
      <w:pPr>
        <w:pStyle w:val="BodyText"/>
      </w:pPr>
      <w:r>
        <w:t xml:space="preserve">В указанных сериях проектов жилых домов предусматриваются также вестибюльно-входные группы (включая лестничные клетки и лифты), доступные для инвалидов с различными потребностями, в том числе с нарушениями опорно-двигательного аппарата, слепых и слабовидящих, глухих и слабослышаших.</w:t>
      </w:r>
    </w:p>
    <w:p>
      <w:pPr>
        <w:pStyle w:val="BodyText"/>
      </w:pPr>
      <w:r>
        <w:t xml:space="preserve">Кроме того, по заказу Департамента разработаны архитектурно-технические решения по переустройству квартир для маломобильных граждан на первых этажах существующего жилищного фонда в сериях П44, П3, П46, КОПЭ и ГМС-2001.</w:t>
      </w:r>
    </w:p>
    <w:p>
      <w:pPr>
        <w:pStyle w:val="BodyText"/>
      </w:pPr>
      <w:r>
        <w:t xml:space="preserve">Указанные решения размещены в составе Московского территориального строительного каталога (mtsk.mos.ru) в разделе 1.10 «Проекты переустройства квартир для семей-инвалидов в существующем жилищном фонде».</w:t>
      </w:r>
    </w:p>
    <w:p>
      <w:pPr>
        <w:pStyle w:val="BodyText"/>
      </w:pPr>
      <w:r>
        <w:t xml:space="preserve">«Безбарьерный доступ в жилые и другие объекты для горожан всех категорий здоровья – одно из важных условий, которые Департамент всегда учитывает в своих разработках. Доступность объектов жилья и социальной инфраструктуры напрямую влияет на качество городской среды и качество жизни», - отмечает руководитель Департамента градостроительной политики города Москвы</w:t>
      </w:r>
      <w:r>
        <w:t xml:space="preserve"> </w:t>
      </w:r>
      <w:r>
        <w:rPr>
          <w:bCs/>
          <w:b/>
        </w:rPr>
        <w:t xml:space="preserve">Сергей Лёвкин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http://uao.mos.ru/presscenter/news/detail/1537836.html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537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537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2025-05-31T05:02:37Z</dcterms:created>
  <dcterms:modified xsi:type="dcterms:W3CDTF">2025-05-31T05:02:37Z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