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офсреда"/>
    <w:p>
      <w:pPr>
        <w:pStyle w:val="Heading3"/>
      </w:pPr>
      <w:r>
        <w:t xml:space="preserve">Профсреда</w:t>
      </w:r>
    </w:p>
    <w:p>
      <w:pPr>
        <w:pStyle w:val="FirstParagraph"/>
      </w:pPr>
      <w:r>
        <w:t xml:space="preserve">18.12.2014</w:t>
      </w:r>
    </w:p>
    <w:p>
      <w:pPr>
        <w:pStyle w:val="BodyText"/>
      </w:pPr>
      <w:r>
        <w:drawing>
          <wp:inline>
            <wp:extent cx="5334000" cy="754306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files/Приглашение%20на%2020.12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0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http://uao.mos.ru/presscenter/news/detail/1480606.html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806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ao.mos.ru" TargetMode="External" /><Relationship Type="http://schemas.openxmlformats.org/officeDocument/2006/relationships/hyperlink" Id="rId23" Target="http://uao.mos.ru/presscenter/news/detail/14806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2025-02-02T12:04:53Z</dcterms:created>
  <dcterms:modified xsi:type="dcterms:W3CDTF">2025-02-02T12:04:53Z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