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6f5ec3f6dd15ba2d9d16284b9b0d2e738298"/>
    <w:p>
      <w:pPr>
        <w:pStyle w:val="Heading3"/>
      </w:pPr>
      <w:r>
        <w:t xml:space="preserve">Установлена уголовная ответственность за кражу автомобильных номеров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Федеральным законом от 05.05.2014 №105-ФЗ «О внесении изменений в отдельные законодательные акты Российской Федерации» внесены поправки в Уголовный кодекс РФ, Уголовно-процессуальный кодекс РФ и Кодекс РФ об административных правонарушениях.</w:t>
      </w:r>
    </w:p>
    <w:p>
      <w:pPr>
        <w:pStyle w:val="BodyText"/>
      </w:pPr>
      <w:r>
        <w:t xml:space="preserve">Так, в соответствии с указанными изменениями, Уголовный кодекс РФ дополнен новой статьей 325.1 «Неправомерное завладение государственным регистрационным знаком транспортного средства».</w:t>
      </w:r>
    </w:p>
    <w:p>
      <w:pPr>
        <w:pStyle w:val="BodyText"/>
      </w:pPr>
      <w:r>
        <w:t xml:space="preserve">Данное деяние будет признано уголовно наказуемым, если оно совершено из корыстной заинтересованности либо в целях совершения тяжкого (особо тяжкого) преступления.</w:t>
      </w:r>
    </w:p>
    <w:p>
      <w:pPr>
        <w:pStyle w:val="BodyText"/>
      </w:pPr>
      <w:r>
        <w:t xml:space="preserve">Виновных будут штрафовать до 200 тыс. руб. или в размере зарплаты, иного дохода осужденного за период до 1 года, либо назначать обязательные работы до 360 часов, либо исправительные работы на срок до 1 года соответственно. Еще один вид наказания - лишение свободы на срок до 1 года. За преступление, совершенное группой лиц по предварительному сговору либо организованной группой, ответственность усилена.</w:t>
      </w:r>
    </w:p>
    <w:p>
      <w:pPr>
        <w:pStyle w:val="BodyText"/>
      </w:pPr>
      <w:r>
        <w:t xml:space="preserve">Уголовные дела данной категории отнесены к компетенции дознавателей и следователей органов внутренних дел.</w:t>
      </w:r>
    </w:p>
    <w:p>
      <w:pPr>
        <w:pStyle w:val="BodyText"/>
      </w:pPr>
      <w:r>
        <w:t xml:space="preserve">В иных случаях, когда нет признаков уголовно наказуемого деяния, виновные лица будут привлекаться к административной ответственности.</w:t>
      </w:r>
    </w:p>
    <w:p>
      <w:pPr>
        <w:pStyle w:val="BodyText"/>
      </w:pPr>
      <w:r>
        <w:t xml:space="preserve">Для них установлен штраф в размере от 2 тыс. руб. до 5 тыс. руб. или арест на срок до 15 суток.</w:t>
      </w:r>
    </w:p>
    <w:p>
      <w:pPr>
        <w:pStyle w:val="BodyText"/>
      </w:pPr>
      <w:r>
        <w:t xml:space="preserve">Указанный Федеральный закон вступает в силу по истечении 90 дней после даты его официального опубликования, то есть с 04 августа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http://uao.mos.ru/presscenter/news/detail/1093263.html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93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93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2025-04-02T02:00:03Z</dcterms:created>
  <dcterms:modified xsi:type="dcterms:W3CDTF">2025-04-02T02:00:03Z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