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ffcf5e7246015639b4da95fe40cea6fb6de8ad"/>
    <w:p>
      <w:pPr>
        <w:pStyle w:val="Heading3"/>
      </w:pPr>
      <w:r>
        <w:t xml:space="preserve">Распоряжения от 19.04.2024 №55696, №55699, №55701, №55708 Об установлении публичного сервитута на земельный участок</w:t>
      </w:r>
    </w:p>
    <w:p>
      <w:pPr>
        <w:pStyle w:val="FirstParagraph"/>
      </w:pPr>
      <w:r>
        <w:t xml:space="preserve">05.07.2024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http://uao.mos.ru/izyatie_uchastkov_i_nedvizhimosti/detail/12466048.html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zyatie_uchastkov_i_nedvizhimosti/detail/124660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zyatie_uchastkov_i_nedvizhimosti/detail/124660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2025-05-26T13:01:35Z</dcterms:created>
  <dcterms:modified xsi:type="dcterms:W3CDTF">2025-05-26T13:01:35Z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