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64821733b3675e105018bfb6f9bcaaa38706d84"/>
    <w:p>
      <w:pPr>
        <w:pStyle w:val="Heading3"/>
      </w:pPr>
      <w:r>
        <w:t xml:space="preserve">Справочная информация о работе сервиса «Биржа импортозамещения»</w:t>
      </w:r>
    </w:p>
    <w:p>
      <w:pPr>
        <w:pStyle w:val="FirstParagraph"/>
      </w:pPr>
      <w:r>
        <w:t xml:space="preserve">01.04.2022</w:t>
      </w:r>
    </w:p>
    <w:p>
      <w:pPr>
        <w:pStyle w:val="BodyText"/>
      </w:pPr>
      <w:r>
        <w:drawing>
          <wp:inline>
            <wp:extent cx="5334000" cy="300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fe010ada84424e66d81bb13db10f1910oPLIFeqDsY25DzMS-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uao.mos.ru/www/fe010ada84424e66d81bb13db10f1910oPLIFeqDsY25DzMS-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uao.mos.ru/www/fe010ada84424e66d81bb13db10f1910oPLIFeqDsY25DzMS-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uao.mos.ru/www/fe010ada84424e66d81bb13db10f1910oPLIFeqDsY25DzMS-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uao.mos.ru/www/fe010ada84424e66d81bb13db10f1910oPLIFeqDsY25DzMS-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uao.mos.ru/www/fe010ada84424e66d81bb13db10f1910oPLIFeqDsY25DzMS-5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uao.mos.ru/www/fe010ada84424e66d81bb13db10f1910oPLIFeqDsY25DzMS-6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http://uao.mos.ru/investitsionnaya-i-promyshlennaya-politika/detail/10723935.html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hyperlink" Id="rId42" Target="http://uao.mos.ru" TargetMode="External" /><Relationship Type="http://schemas.openxmlformats.org/officeDocument/2006/relationships/hyperlink" Id="rId41" Target="http://uao.mos.ru/investitsionnaya-i-promyshlennaya-politika/detail/10723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uao.mos.ru" TargetMode="External" /><Relationship Type="http://schemas.openxmlformats.org/officeDocument/2006/relationships/hyperlink" Id="rId41" Target="http://uao.mos.ru/investitsionnaya-i-promyshlennaya-politika/detail/10723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2025-07-23T22:49:23Z</dcterms:created>
  <dcterms:modified xsi:type="dcterms:W3CDTF">2025-07-23T22:49:23Z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