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09f1ab64f6a01864a3cda8ac9916103c336078"/>
    <w:p>
      <w:pPr>
        <w:pStyle w:val="Heading3"/>
      </w:pPr>
      <w:r>
        <w:t xml:space="preserve">Распоряжение от 25.12.2020 №01-10-544 О внесении изменений в распоряжение префектуры от 01.09.2020 №01-10-336</w:t>
      </w:r>
    </w:p>
    <w:p>
      <w:pPr>
        <w:pStyle w:val="FirstParagraph"/>
      </w:pPr>
      <w:r>
        <w:t xml:space="preserve">26.01.2021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http://uao.mos.ru/internal-financial-control-and-audit/regulatory-framework/detail/9665217.html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internal-financial-control-and-audit/regulatory-framework/detail/966521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internal-financial-control-and-audit/regulatory-framework/detail/966521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2025-02-16T08:11:28Z</dcterms:created>
  <dcterms:modified xsi:type="dcterms:W3CDTF">2025-02-16T08:11:28Z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