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4ddce78b9c5302de70f568580394792ebac51b"/>
    <w:p>
      <w:pPr>
        <w:pStyle w:val="Heading3"/>
      </w:pPr>
      <w:r>
        <w:t xml:space="preserve">Распоряжение от 01.09.2020 № 01-10-336 Об утверждении Регламента осуществления внутреннего финансового аудита</w:t>
      </w:r>
    </w:p>
    <w:p>
      <w:pPr>
        <w:pStyle w:val="FirstParagraph"/>
      </w:pPr>
      <w:r>
        <w:t xml:space="preserve">30.12.2020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http://uao.mos.ru/internal-financial-control-and-audit/regulatory-framework/detail/9608966.html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regulatory-framework/detail/96089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regulatory-framework/detail/96089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2025-07-02T12:12:01Z</dcterms:created>
  <dcterms:modified xsi:type="dcterms:W3CDTF">2025-07-02T12:12:01Z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