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аспоряжения-префектуры-01-41-59"/>
    <w:p>
      <w:pPr>
        <w:pStyle w:val="Heading3"/>
      </w:pPr>
      <w:r>
        <w:t xml:space="preserve">Распоряжения префектуры №01-41-59</w:t>
      </w:r>
    </w:p>
    <w:p>
      <w:pPr>
        <w:pStyle w:val="FirstParagraph"/>
      </w:pPr>
      <w:r>
        <w:t xml:space="preserve">06.08.2015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префектуры №01-41-59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http://uao.mos.ru/internal-financial-control-and-audit/regulatory-framework/detail/2055832.html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internal-financial-control-and-audit/regulatory-framework/detail/2055832.html" TargetMode="External" /><Relationship Type="http://schemas.openxmlformats.org/officeDocument/2006/relationships/hyperlink" Id="rId20" Target="https://drive.google.com/file/d/0B0s7UQk723c8NWEtSXYyRFdpWWc/view?usp=shar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internal-financial-control-and-audit/regulatory-framework/detail/2055832.html" TargetMode="External" /><Relationship Type="http://schemas.openxmlformats.org/officeDocument/2006/relationships/hyperlink" Id="rId20" Target="https://drive.google.com/file/d/0B0s7UQk723c8NWEtSXYyRFdpWWc/view?usp=shar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2025-06-28T20:24:01Z</dcterms:created>
  <dcterms:modified xsi:type="dcterms:W3CDTF">2025-06-28T20:24:01Z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