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70f9ff3e0e90e91e02fb3648e2301d14864431a"/>
    <w:p>
      <w:pPr>
        <w:pStyle w:val="Heading3"/>
      </w:pPr>
      <w:r>
        <w:t xml:space="preserve">План проверок ведомственного контроля в сфере закупок Префектуры ЮАО на 2019 год (изменения)</w:t>
      </w:r>
    </w:p>
    <w:p>
      <w:pPr>
        <w:pStyle w:val="FirstParagraph"/>
      </w:pPr>
      <w:r>
        <w:t xml:space="preserve">04.04.2019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http://uao.mos.ru/internal-financial-control-and-audit/plans-control-activities/detail/7999388.html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Южного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uao.mos.ru" TargetMode="External" /><Relationship Type="http://schemas.openxmlformats.org/officeDocument/2006/relationships/hyperlink" Id="rId20" Target="http://uao.mos.ru/internal-financial-control-and-audit/plans-control-activities/detail/799938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uao.mos.ru" TargetMode="External" /><Relationship Type="http://schemas.openxmlformats.org/officeDocument/2006/relationships/hyperlink" Id="rId20" Target="http://uao.mos.ru/internal-financial-control-and-audit/plans-control-activities/detail/799938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2025-02-16T08:12:13Z</dcterms:created>
  <dcterms:modified xsi:type="dcterms:W3CDTF">2025-02-16T08:12:13Z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