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36fdb007b9b65c9a35c5131720ee5846812811b"/>
    <w:p>
      <w:pPr>
        <w:pStyle w:val="Heading3"/>
      </w:pPr>
      <w:r>
        <w:t xml:space="preserve">План аудиторских проверок префектуры ЮАО на 2018 год</w:t>
      </w:r>
    </w:p>
    <w:p>
      <w:pPr>
        <w:pStyle w:val="FirstParagraph"/>
      </w:pPr>
      <w:r>
        <w:t xml:space="preserve">03.10.2017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http://uao.mos.ru/internal-financial-control-and-audit/plans-control-activities/detail/6896213.html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Префектура Южного административного округа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uao.mos.ru" TargetMode="External" /><Relationship Type="http://schemas.openxmlformats.org/officeDocument/2006/relationships/hyperlink" Id="rId20" Target="http://uao.mos.ru/internal-financial-control-and-audit/plans-control-activities/detail/689621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uao.mos.ru" TargetMode="External" /><Relationship Type="http://schemas.openxmlformats.org/officeDocument/2006/relationships/hyperlink" Id="rId20" Target="http://uao.mos.ru/internal-financial-control-and-audit/plans-control-activities/detail/689621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2023-08-18T20:47:59Z</dcterms:created>
  <dcterms:modified xsi:type="dcterms:W3CDTF">2023-08-18T20:47:59Z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