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98a0bd6158516a87b7b128348abfd4c7eaa8"/>
    <w:p>
      <w:pPr>
        <w:pStyle w:val="Heading3"/>
      </w:pPr>
      <w:r>
        <w:t xml:space="preserve">План аудиторских проверок Префектуры Южного округа Москвы на 2016 год</w:t>
      </w:r>
    </w:p>
    <w:p>
      <w:pPr>
        <w:pStyle w:val="FirstParagraph"/>
      </w:pPr>
      <w:r>
        <w:t xml:space="preserve">12.01.2016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http://uao.mos.ru/internal-financial-control-and-audit/plans-control-activities/detail/2426727.html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2426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internal-financial-control-and-audit/plans-control-activities/detail/2426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2025-02-13T03:24:58Z</dcterms:created>
  <dcterms:modified xsi:type="dcterms:W3CDTF">2025-02-13T03:24:58Z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