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85238255edf71469d500cc59aef45d2936f87"/>
    <w:p>
      <w:pPr>
        <w:pStyle w:val="Heading3"/>
      </w:pPr>
      <w:r>
        <w:t xml:space="preserve">План мероприятий реализации национальной политики на территории ЮАО в 2022 году</w:t>
      </w:r>
    </w:p>
    <w:p>
      <w:pPr>
        <w:pStyle w:val="FirstParagraph"/>
      </w:pPr>
      <w:r>
        <w:t xml:space="preserve">01.09.2023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http://uao.mos.ru/counter-terrorism/the-anti-terrorist-operation-south-of-the-city-of-moscow/measures-to-combat-extremism-and-terrorism/detail/11808004.html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counter-terrorism/the-anti-terrorist-operation-south-of-the-city-of-moscow/measures-to-combat-extremism-and-terrorism/detail/118080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counter-terrorism/the-anti-terrorist-operation-south-of-the-city-of-moscow/measures-to-combat-extremism-and-terrorism/detail/118080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2025-04-02T01:42:01Z</dcterms:created>
  <dcterms:modified xsi:type="dcterms:W3CDTF">2025-04-02T01:42:01Z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