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e80b65b3c6e160f2c9881f240830d91d5140bf"/>
    <w:p>
      <w:pPr>
        <w:pStyle w:val="Heading3"/>
      </w:pPr>
      <w:r>
        <w:t xml:space="preserve">ОБЯЗАТЕЛЬНЫЕ ТРЕБОВАНИЯ   ДЛЯ ПРОИЗВОДИТЕЛЕЙ И ИМПОРТЕРОВ ПО ЭКЗЕМПЛЯРНОЙ ПРОСЛЕЖИВАЕМОСТИ ПИВА И СЛАБОАЛКОГОЛЬНЫХ НАПИТКОВ В КЕГАХ И ПОТРЕБИТЕЛЬСКОЙ УПАКОВКЕ</w:t>
      </w:r>
    </w:p>
    <w:p>
      <w:pPr>
        <w:pStyle w:val="FirstParagraph"/>
      </w:pPr>
      <w:r>
        <w:t xml:space="preserve">29.10.2024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http://uao.mos.ru/consumer_market_and_services/novosti/detail/12635095.html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consumer_market_and_services/novosti/detail/1263509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consumer_market_and_services/novosti/detail/1263509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2025-02-16T07:53:54Z</dcterms:created>
  <dcterms:modified xsi:type="dcterms:W3CDTF">2025-02-16T07:53:54Z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